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55272080"/>
    <w:p w:rsidR="005E5E95" w:rsidRPr="00C460FD" w:rsidRDefault="00677A0B">
      <w:pPr>
        <w:rPr>
          <w:rFonts w:ascii="Arial" w:hAnsi="Arial" w:cs="Arial"/>
          <w:color w:val="000000" w:themeColor="text1"/>
        </w:rPr>
      </w:pPr>
      <w:r w:rsidRPr="00C460FD">
        <w:rPr>
          <w:rFonts w:ascii="Arial" w:hAnsi="Arial" w:cs="Arial"/>
          <w:color w:val="000000" w:themeColor="text1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25pt;height:77.25pt" o:ole="">
            <v:imagedata r:id="rId4" o:title=""/>
          </v:shape>
          <o:OLEObject Type="Embed" ProgID="CorelDraw.Graphic.10" ShapeID="_x0000_i1025" DrawAspect="Content" ObjectID="_1815476180" r:id="rId5"/>
        </w:object>
      </w:r>
      <w:bookmarkEnd w:id="0"/>
    </w:p>
    <w:p w:rsidR="00677A0B" w:rsidRPr="00C460FD" w:rsidRDefault="00677A0B" w:rsidP="00677A0B">
      <w:pPr>
        <w:jc w:val="center"/>
        <w:rPr>
          <w:rFonts w:ascii="Arial" w:hAnsi="Arial" w:cs="Arial"/>
          <w:b/>
          <w:color w:val="000000" w:themeColor="text1"/>
          <w:u w:val="single"/>
        </w:rPr>
      </w:pPr>
      <w:r w:rsidRPr="00C460FD">
        <w:rPr>
          <w:rFonts w:ascii="Arial" w:hAnsi="Arial" w:cs="Arial"/>
          <w:b/>
          <w:color w:val="000000" w:themeColor="text1"/>
          <w:u w:val="single"/>
        </w:rPr>
        <w:t>PEDIDO DE ESCLARECIMENTO</w:t>
      </w:r>
    </w:p>
    <w:p w:rsidR="00677A0B" w:rsidRPr="00C460FD" w:rsidRDefault="00677A0B" w:rsidP="00677A0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460FD">
        <w:rPr>
          <w:rFonts w:ascii="Arial" w:hAnsi="Arial" w:cs="Arial"/>
          <w:color w:val="000000" w:themeColor="text1"/>
          <w:sz w:val="22"/>
          <w:szCs w:val="22"/>
        </w:rPr>
        <w:t> </w:t>
      </w:r>
    </w:p>
    <w:p w:rsidR="00C460FD" w:rsidRPr="00C460FD" w:rsidRDefault="00C460FD" w:rsidP="00C460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lang w:eastAsia="pt-BR"/>
        </w:rPr>
      </w:pPr>
      <w:r w:rsidRPr="00C460FD">
        <w:rPr>
          <w:rFonts w:ascii="Arial" w:eastAsia="Times New Roman" w:hAnsi="Arial" w:cs="Arial"/>
          <w:color w:val="000000" w:themeColor="text1"/>
          <w:lang w:eastAsia="pt-BR"/>
        </w:rPr>
        <w:t>PEDIDO DE ESCLARECIMENTO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Em razão de omissões técnicas relevantes constatadas no Edital do Pregão Eletrônico nº 34/2025 – SRP,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cujo objeto consiste na locação de grupos geradores, nos seguintes termos: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1. Da imprescindibilidade dos esclarecimentos para a formulação da proposta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A adequada elaboração das propostas pelas licitantes exige o conhecimento prévio de parâmetros mínimos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e objetivos sobre: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• A responsabilidade pelo fornecimento do combustível;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 xml:space="preserve">• O regime de funcionamento dos equipamentos (contínuo ou </w:t>
      </w:r>
      <w:proofErr w:type="spellStart"/>
      <w:r w:rsidRPr="00C460FD">
        <w:rPr>
          <w:rFonts w:ascii="Arial" w:eastAsia="Times New Roman" w:hAnsi="Arial" w:cs="Arial"/>
          <w:color w:val="000000" w:themeColor="text1"/>
          <w:lang w:eastAsia="pt-BR"/>
        </w:rPr>
        <w:t>standby</w:t>
      </w:r>
      <w:proofErr w:type="spellEnd"/>
      <w:r w:rsidRPr="00C460FD">
        <w:rPr>
          <w:rFonts w:ascii="Arial" w:eastAsia="Times New Roman" w:hAnsi="Arial" w:cs="Arial"/>
          <w:color w:val="000000" w:themeColor="text1"/>
          <w:lang w:eastAsia="pt-BR"/>
        </w:rPr>
        <w:t>);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• A estimativa de tempo de operação diária;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• E os encargos técnicos relativos à manutenção preventiva dos geradores.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A ausência desses dados compromete a avaliação de custos e inviabiliza, inclusive, a análise de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exequibilidade do objeto, diante dos riscos operacionais e orçamentários envolvidos.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2. Da repercussão direta na exequibilidade contratual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A título de exemplo, caso o fornecimento do combustível seja atribuído à empresa contratada, e o gerador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opere em regime ininterrupto, o custo estimado com diesel, apenas em um final de semana de operação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contínua, ultrapassaria o limite de proporcionalidade da contratação, tornando o objeto materialmente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inexequível.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 xml:space="preserve">Mesmo em caso de funcionamento </w:t>
      </w:r>
      <w:proofErr w:type="gramStart"/>
      <w:r w:rsidRPr="00C460FD">
        <w:rPr>
          <w:rFonts w:ascii="Arial" w:eastAsia="Times New Roman" w:hAnsi="Arial" w:cs="Arial"/>
          <w:color w:val="000000" w:themeColor="text1"/>
          <w:lang w:eastAsia="pt-BR"/>
        </w:rPr>
        <w:t>sob sistema</w:t>
      </w:r>
      <w:proofErr w:type="gramEnd"/>
      <w:r w:rsidRPr="00C460FD">
        <w:rPr>
          <w:rFonts w:ascii="Arial" w:eastAsia="Times New Roman" w:hAnsi="Arial" w:cs="Arial"/>
          <w:color w:val="000000" w:themeColor="text1"/>
          <w:lang w:eastAsia="pt-BR"/>
        </w:rPr>
        <w:t xml:space="preserve"> </w:t>
      </w:r>
      <w:proofErr w:type="spellStart"/>
      <w:r w:rsidRPr="00C460FD">
        <w:rPr>
          <w:rFonts w:ascii="Arial" w:eastAsia="Times New Roman" w:hAnsi="Arial" w:cs="Arial"/>
          <w:color w:val="000000" w:themeColor="text1"/>
          <w:lang w:eastAsia="pt-BR"/>
        </w:rPr>
        <w:t>standby</w:t>
      </w:r>
      <w:proofErr w:type="spellEnd"/>
      <w:r w:rsidRPr="00C460FD">
        <w:rPr>
          <w:rFonts w:ascii="Arial" w:eastAsia="Times New Roman" w:hAnsi="Arial" w:cs="Arial"/>
          <w:color w:val="000000" w:themeColor="text1"/>
          <w:lang w:eastAsia="pt-BR"/>
        </w:rPr>
        <w:t>, um único dia de operação, se necessário, já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consumiria aproximadamente um sexto do valor total estimado para a contratação, apenas a título de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combustível. Tal cenário revela risco significativo de execução deficitária, especialmente na ausência de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regramento sobre reembolso, fornecimento pela contratante ou limitação de acionamento.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3. Das omissões concretas no edital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Página 1 de 2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O instrumento convocatório não esclarece: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• Se o combustível será fornecido pela contratante ou pela contratada;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 xml:space="preserve">• Qual será o regime de funcionamento dos equipamentos (contínuo ou </w:t>
      </w:r>
      <w:proofErr w:type="spellStart"/>
      <w:r w:rsidRPr="00C460FD">
        <w:rPr>
          <w:rFonts w:ascii="Arial" w:eastAsia="Times New Roman" w:hAnsi="Arial" w:cs="Arial"/>
          <w:color w:val="000000" w:themeColor="text1"/>
          <w:lang w:eastAsia="pt-BR"/>
        </w:rPr>
        <w:t>standby</w:t>
      </w:r>
      <w:proofErr w:type="spellEnd"/>
      <w:r w:rsidRPr="00C460FD">
        <w:rPr>
          <w:rFonts w:ascii="Arial" w:eastAsia="Times New Roman" w:hAnsi="Arial" w:cs="Arial"/>
          <w:color w:val="000000" w:themeColor="text1"/>
          <w:lang w:eastAsia="pt-BR"/>
        </w:rPr>
        <w:t>);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• Qual a previsão estimada de uso diário dos geradores (turnos, horas/dia);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• Quem será responsável por trocas de óleo, substituição de filtros e demais cuidados de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manutenção preventiva.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4. Do requerimento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Diante das omissões verificadas, requer-se, com a devida vênia, que Vossa Senhoria esclareça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formalmente, por meio da plataforma oficial do certame: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lastRenderedPageBreak/>
        <w:t>1.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O fornecimento do combustível necessário ao funcionamento dos geradores será de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responsabilidade da contratante (Prefeitura Municipal de Campo Belo) ou da contratada?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2.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Os equipamentos funcionarão de forma ininterrupta (contínua) ou em sistema de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</w:r>
      <w:proofErr w:type="spellStart"/>
      <w:r w:rsidRPr="00C460FD">
        <w:rPr>
          <w:rFonts w:ascii="Arial" w:eastAsia="Times New Roman" w:hAnsi="Arial" w:cs="Arial"/>
          <w:color w:val="000000" w:themeColor="text1"/>
          <w:lang w:eastAsia="pt-BR"/>
        </w:rPr>
        <w:t>standby</w:t>
      </w:r>
      <w:proofErr w:type="spellEnd"/>
      <w:r w:rsidRPr="00C460FD">
        <w:rPr>
          <w:rFonts w:ascii="Arial" w:eastAsia="Times New Roman" w:hAnsi="Arial" w:cs="Arial"/>
          <w:color w:val="000000" w:themeColor="text1"/>
          <w:lang w:eastAsia="pt-BR"/>
        </w:rPr>
        <w:t xml:space="preserve"> (acionados apenas em caso de falta de energia elétrica)?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3.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Qual é a previsão estimada de funcionamento diário dos equipamentos (número de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horas/dia ou turnos)?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4.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Compete à contratada a realização de manutenção preventiva, incluindo troca de óleo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lubrificante, substituição de filtros e controle de níveis de óleo e água? Em caso afirmativo, com que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periodicidade?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Nestes termos,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 xml:space="preserve">Pede e aguarda </w:t>
      </w:r>
      <w:proofErr w:type="gramStart"/>
      <w:r w:rsidRPr="00C460FD">
        <w:rPr>
          <w:rFonts w:ascii="Arial" w:eastAsia="Times New Roman" w:hAnsi="Arial" w:cs="Arial"/>
          <w:color w:val="000000" w:themeColor="text1"/>
          <w:lang w:eastAsia="pt-BR"/>
        </w:rPr>
        <w:t>deferimento</w:t>
      </w:r>
      <w:proofErr w:type="gramEnd"/>
    </w:p>
    <w:p w:rsidR="00C460FD" w:rsidRPr="00C460FD" w:rsidRDefault="00C460FD" w:rsidP="00C460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lang w:eastAsia="pt-BR"/>
        </w:rPr>
      </w:pPr>
    </w:p>
    <w:p w:rsidR="00C460FD" w:rsidRPr="00C460FD" w:rsidRDefault="00C460FD" w:rsidP="00C460FD">
      <w:pPr>
        <w:jc w:val="center"/>
        <w:rPr>
          <w:rFonts w:ascii="Arial" w:hAnsi="Arial" w:cs="Arial"/>
          <w:b/>
          <w:color w:val="000000" w:themeColor="text1"/>
          <w:u w:val="single"/>
        </w:rPr>
      </w:pPr>
      <w:r w:rsidRPr="00C460FD">
        <w:rPr>
          <w:rFonts w:ascii="Arial" w:hAnsi="Arial" w:cs="Arial"/>
          <w:b/>
          <w:color w:val="000000" w:themeColor="text1"/>
          <w:u w:val="single"/>
        </w:rPr>
        <w:t>RESPOSTA AO PEDIDO DE ESCLARECIMENTO</w:t>
      </w:r>
    </w:p>
    <w:p w:rsidR="00C460FD" w:rsidRPr="00C460FD" w:rsidRDefault="00C460FD" w:rsidP="00C460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lang w:eastAsia="pt-BR"/>
        </w:rPr>
      </w:pP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1. Fornecimento de combustível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O fornecimento de combustível será de responsabilidade da Contratante, conforme já adotado na contratação anterior e considerando o fato de que o tanque blindado está incorporado à carenagem do grupo gerador (vide TR).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 xml:space="preserve">2. Regime de funcionamento (contínuo ou </w:t>
      </w:r>
      <w:proofErr w:type="spellStart"/>
      <w:r w:rsidRPr="00C460FD">
        <w:rPr>
          <w:rFonts w:ascii="Arial" w:eastAsia="Times New Roman" w:hAnsi="Arial" w:cs="Arial"/>
          <w:color w:val="000000" w:themeColor="text1"/>
          <w:lang w:eastAsia="pt-BR"/>
        </w:rPr>
        <w:t>standby</w:t>
      </w:r>
      <w:proofErr w:type="spellEnd"/>
      <w:proofErr w:type="gramStart"/>
      <w:r w:rsidRPr="00C460FD">
        <w:rPr>
          <w:rFonts w:ascii="Arial" w:eastAsia="Times New Roman" w:hAnsi="Arial" w:cs="Arial"/>
          <w:color w:val="000000" w:themeColor="text1"/>
          <w:lang w:eastAsia="pt-BR"/>
        </w:rPr>
        <w:t>)</w:t>
      </w:r>
      <w:proofErr w:type="gramEnd"/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O grupo gerador funcionará de forma contínua, ou seja, como fonte principal de fornecimento de energia elétrica, enquanto não concluída a obra de extensão da rede elétrica convencional pela CEMIG, conforme fundamentado no Termo de Referência (justificativa da contratação).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3. Previsão de funcionamento diário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A previsão estimada de funcionamento diário é de aproximadamente 12 horas por dia, podendo variar conforme a necessidade da operação do poço artesiano.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4. Responsabilidade pela manutenção preventiva</w:t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</w:r>
      <w:r w:rsidRPr="00C460FD">
        <w:rPr>
          <w:rFonts w:ascii="Arial" w:eastAsia="Times New Roman" w:hAnsi="Arial" w:cs="Arial"/>
          <w:color w:val="000000" w:themeColor="text1"/>
          <w:lang w:eastAsia="pt-BR"/>
        </w:rPr>
        <w:br/>
        <w:t>Compete à contratada a realização da manutenção preventiva e corretiva durante toda a vigência do contrato, incluindo troca de óleo, substituição de filtros, controle de níveis de óleo e água e demais cuidados técnicos necessários, conforme as condições operacionais do equipamento e as normas técnicas do fabricante. A periodicidade deverá seguir as recomendações técnicas do fabricante.</w:t>
      </w:r>
    </w:p>
    <w:p w:rsidR="00677A0B" w:rsidRPr="00677A0B" w:rsidRDefault="00677A0B" w:rsidP="00677A0B">
      <w:pPr>
        <w:rPr>
          <w:rFonts w:ascii="Arial" w:hAnsi="Arial" w:cs="Arial"/>
          <w:b/>
          <w:u w:val="single"/>
        </w:rPr>
      </w:pPr>
    </w:p>
    <w:sectPr w:rsidR="00677A0B" w:rsidRPr="00677A0B" w:rsidSect="005E5E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77A0B"/>
    <w:rsid w:val="005E5E95"/>
    <w:rsid w:val="00677A0B"/>
    <w:rsid w:val="00C460FD"/>
    <w:rsid w:val="00DC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E9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v1msonormal">
    <w:name w:val="v1msonormal"/>
    <w:basedOn w:val="Normal"/>
    <w:rsid w:val="0067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7770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77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00119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2025-07-31T17:10:00Z</dcterms:created>
  <dcterms:modified xsi:type="dcterms:W3CDTF">2025-07-31T17:10:00Z</dcterms:modified>
</cp:coreProperties>
</file>